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报价单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/>
        </w:rPr>
        <w:t xml:space="preserve">         </w:t>
      </w:r>
    </w:p>
    <w:tbl>
      <w:tblPr>
        <w:tblStyle w:val="6"/>
        <w:tblW w:w="13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647"/>
        <w:gridCol w:w="1200"/>
        <w:gridCol w:w="208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价（元）</w:t>
            </w: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垃圾分类收集箱（二次）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1、满足询价公告中具体参数及要求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2、对采购方场地进行处理，达到安装要求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/>
              </w:rPr>
              <w:t>3、报价方承诺本项目为交钥匙采购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6695B5E"/>
    <w:rsid w:val="0ADF6EBB"/>
    <w:rsid w:val="0EE474AB"/>
    <w:rsid w:val="3D72222C"/>
    <w:rsid w:val="46CE76A0"/>
    <w:rsid w:val="4F98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1550</Characters>
  <Paragraphs>63</Paragraphs>
  <TotalTime>13</TotalTime>
  <ScaleCrop>false</ScaleCrop>
  <LinksUpToDate>false</LinksUpToDate>
  <CharactersWithSpaces>1604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2022-06-27T06:34:00Z</cp:lastPrinted>
  <dcterms:modified xsi:type="dcterms:W3CDTF">2022-06-28T09:20:23Z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68D42F69F0E44D1A85DBD17D06AB77EA</vt:lpwstr>
  </property>
</Properties>
</file>