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03FB">
      <w:pPr>
        <w:pStyle w:val="5"/>
        <w:spacing w:line="384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562" w:tblpY="245"/>
        <w:tblOverlap w:val="never"/>
        <w:tblW w:w="8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16"/>
        <w:gridCol w:w="1168"/>
        <w:gridCol w:w="2026"/>
        <w:gridCol w:w="576"/>
        <w:gridCol w:w="819"/>
        <w:gridCol w:w="1063"/>
        <w:gridCol w:w="641"/>
        <w:gridCol w:w="851"/>
      </w:tblGrid>
      <w:tr w14:paraId="6752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5C5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 w14:paraId="1741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6EC5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工程名称：襄阳市殡仪馆新建灵堂东西两侧高压线下土地平整绿化改造项目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877A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标段：襄阳市殡仪馆新建灵堂东西两侧高压线下土地平整绿化改造项目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81984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第1页共 3 页</w:t>
            </w:r>
          </w:p>
        </w:tc>
      </w:tr>
      <w:tr w14:paraId="6C51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C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C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56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5109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8B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4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B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85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46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6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3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A1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 w14:paraId="0312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A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7F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07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CC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02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9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8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A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D3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 w14:paraId="1EA5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98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03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7F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B17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9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5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9B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6F8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9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050101007001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0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清除地被植物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7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1、清除地被植物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2、垃圾装车并外弃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B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1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EE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7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A27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6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04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050101009002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1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种植土回填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A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20cm厚种植土回填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F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0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FF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5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F5E2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A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6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050101010001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9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1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E0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536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24C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3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F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铺种草皮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2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1.草皮种类:铺种百慕大草坪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2.铺种方式:满铺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3.养护期:3个月成活养护，3个月保存养护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0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D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D5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42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5AD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2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FE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2D2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F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332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F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E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628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88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257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9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E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A3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5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4B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8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9C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A0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7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BD1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7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8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A4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C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9E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E57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5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C8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BC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CDF7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8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8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A3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FCC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7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81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19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C5C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F514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C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BF65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028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0970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0080A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E0547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</w:tbl>
    <w:p w14:paraId="775ACCF3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4B25097A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31AAEC7C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2A1A436E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01A3EBA5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2FDBD008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48DB8302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1CF1CDC7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21A805AE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7CFEE7F4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pPr w:leftFromText="180" w:rightFromText="180" w:vertAnchor="text" w:horzAnchor="page" w:tblpX="1562" w:tblpY="229"/>
        <w:tblOverlap w:val="never"/>
        <w:tblW w:w="9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833"/>
        <w:gridCol w:w="1009"/>
        <w:gridCol w:w="919"/>
        <w:gridCol w:w="877"/>
        <w:gridCol w:w="692"/>
        <w:gridCol w:w="1177"/>
      </w:tblGrid>
      <w:tr w14:paraId="40B4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E3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 w14:paraId="4D67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AA6F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工程名称：襄阳市殡仪馆新建灵堂东西两侧高压线下土地平整绿化改造项目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CA43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标段：襄阳市殡仪馆新建灵堂东西两侧高压线下土地平整绿化改造项目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FA632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72AA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2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6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F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结算金额（元）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04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926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5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47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C0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E8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明细详见表-12-1</w:t>
            </w:r>
          </w:p>
        </w:tc>
      </w:tr>
      <w:tr w14:paraId="6632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05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1B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EE9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A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3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9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材料暂估价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23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57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A4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明细详见表-12-2</w:t>
            </w:r>
          </w:p>
        </w:tc>
      </w:tr>
      <w:tr w14:paraId="3BA0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5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7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B5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BF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08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明细详见表-12-3</w:t>
            </w:r>
          </w:p>
        </w:tc>
      </w:tr>
      <w:tr w14:paraId="6DDA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D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3D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86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AD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明细详见表-12-4</w:t>
            </w:r>
          </w:p>
        </w:tc>
      </w:tr>
      <w:tr w14:paraId="3E9B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1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75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8A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71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明细详见表-12-5</w:t>
            </w:r>
          </w:p>
        </w:tc>
      </w:tr>
      <w:tr w14:paraId="3710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C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索赔与现场签证费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EC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BD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779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A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5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E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C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9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58C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3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A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BC8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A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2C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DBE5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A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4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99F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A451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4FC5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66B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 w14:paraId="401F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803B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 w14:paraId="6E32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F989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6577E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27F9D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</w:tbl>
    <w:p w14:paraId="36D61F72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62BBC9D3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581C5090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10AFE300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3B95B3C5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592CBE1B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25ECA786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4A2A3C77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4EBACE16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13CE0B7F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24FC75CF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41EA2235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0745E32B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7BDC9B6B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p w14:paraId="10064917">
      <w:pPr>
        <w:spacing w:before="62" w:line="241" w:lineRule="auto"/>
        <w:rPr>
          <w:rFonts w:ascii="宋体" w:hAnsi="宋体" w:eastAsia="宋体" w:cs="宋体"/>
          <w:sz w:val="19"/>
          <w:szCs w:val="19"/>
        </w:rPr>
      </w:pPr>
    </w:p>
    <w:p w14:paraId="58E27C0D">
      <w:pPr>
        <w:spacing w:before="62" w:line="241" w:lineRule="auto"/>
        <w:rPr>
          <w:rFonts w:ascii="宋体" w:hAnsi="宋体" w:eastAsia="宋体" w:cs="宋体"/>
          <w:sz w:val="19"/>
          <w:szCs w:val="19"/>
        </w:rPr>
      </w:pPr>
    </w:p>
    <w:p w14:paraId="5AAE8547">
      <w:pPr>
        <w:spacing w:before="62" w:line="241" w:lineRule="auto"/>
        <w:ind w:left="364"/>
        <w:rPr>
          <w:rFonts w:ascii="宋体" w:hAnsi="宋体" w:eastAsia="宋体" w:cs="宋体"/>
          <w:sz w:val="19"/>
          <w:szCs w:val="19"/>
        </w:rPr>
      </w:pPr>
    </w:p>
    <w:tbl>
      <w:tblPr>
        <w:tblStyle w:val="3"/>
        <w:tblpPr w:leftFromText="180" w:rightFromText="180" w:vertAnchor="text" w:horzAnchor="page" w:tblpX="1550" w:tblpY="453"/>
        <w:tblOverlap w:val="never"/>
        <w:tblW w:w="9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4575"/>
        <w:gridCol w:w="360"/>
        <w:gridCol w:w="750"/>
        <w:gridCol w:w="1065"/>
        <w:gridCol w:w="170"/>
        <w:gridCol w:w="1615"/>
      </w:tblGrid>
      <w:tr w14:paraId="4B63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5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 w14:paraId="08EA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E68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工程名称：襄阳市殡仪馆新建灵堂东西两侧高压线下土地平整绿化改造项目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0892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标段：襄阳市殡仪馆新建灵堂东西两侧高压线下土地平整绿化改造项目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8DD53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共 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页</w:t>
            </w:r>
          </w:p>
        </w:tc>
      </w:tr>
      <w:tr w14:paraId="4128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3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4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8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EEE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0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7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8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31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B9B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A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F1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7A3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5C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4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B1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8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C09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658B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C06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 w14:paraId="7E32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E7D8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注：此表由招标人填写，如不能详列，也可只列暂列金额总额，投标人应将上述暂列金额计入投标总价中。</w:t>
            </w:r>
          </w:p>
        </w:tc>
      </w:tr>
      <w:tr w14:paraId="3C5A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CF865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E958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BF1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表—12—1</w:t>
            </w:r>
          </w:p>
        </w:tc>
      </w:tr>
    </w:tbl>
    <w:p w14:paraId="760E2B1E">
      <w:pPr>
        <w:spacing w:before="62" w:line="241" w:lineRule="auto"/>
        <w:rPr>
          <w:rFonts w:ascii="宋体" w:hAnsi="宋体" w:eastAsia="宋体" w:cs="宋体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6BECCDC-AED2-47B5-AE8E-FA254EB4FD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24EE"/>
    <w:rsid w:val="084B7310"/>
    <w:rsid w:val="2ED76963"/>
    <w:rsid w:val="698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768</Characters>
  <Lines>0</Lines>
  <Paragraphs>0</Paragraphs>
  <TotalTime>8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2025-09-04T15:30:00Z</dcterms:created>
  <dc:creator>杜山杉</dc:creator>
  <cp:lastModifiedBy>a</cp:lastModifiedBy>
  <dcterms:modified xsi:type="dcterms:W3CDTF">2025-09-05T10:03:41Z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4EA34691DAC14BFC9A8E5F9A02E1276A_13</vt:lpwstr>
  </property>
</Properties>
</file>